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4300C6" w:rsidP="00027733">
            <w:pPr>
              <w:ind w:firstLine="0"/>
            </w:pPr>
            <w:r>
              <w:t>2</w:t>
            </w:r>
            <w:r w:rsidR="001D6F32">
              <w:t>.4</w:t>
            </w:r>
          </w:p>
        </w:tc>
        <w:tc>
          <w:tcPr>
            <w:tcW w:w="2040" w:type="dxa"/>
          </w:tcPr>
          <w:p w:rsidR="00F41ED8" w:rsidRDefault="004300C6" w:rsidP="00027733">
            <w:pPr>
              <w:ind w:firstLine="0"/>
            </w:pPr>
            <w:r>
              <w:t>2</w:t>
            </w:r>
          </w:p>
        </w:tc>
        <w:tc>
          <w:tcPr>
            <w:tcW w:w="2040" w:type="dxa"/>
          </w:tcPr>
          <w:p w:rsidR="00F41ED8" w:rsidRDefault="004300C6" w:rsidP="00027733">
            <w:pPr>
              <w:ind w:firstLine="0"/>
            </w:pPr>
            <w:r>
              <w:t>2</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4300C6" w:rsidP="00027733">
            <w:pPr>
              <w:ind w:firstLine="0"/>
            </w:pPr>
            <w:r>
              <w:t>6</w:t>
            </w:r>
          </w:p>
        </w:tc>
        <w:tc>
          <w:tcPr>
            <w:tcW w:w="2040" w:type="dxa"/>
          </w:tcPr>
          <w:p w:rsidR="00F41ED8" w:rsidRDefault="004300C6" w:rsidP="00027733">
            <w:pPr>
              <w:ind w:firstLine="0"/>
            </w:pPr>
            <w:r>
              <w:t>5</w:t>
            </w:r>
          </w:p>
        </w:tc>
        <w:tc>
          <w:tcPr>
            <w:tcW w:w="2040" w:type="dxa"/>
          </w:tcPr>
          <w:p w:rsidR="00F41ED8" w:rsidRDefault="004300C6" w:rsidP="00027733">
            <w:pPr>
              <w:ind w:firstLine="0"/>
            </w:pPr>
            <w:r>
              <w:t>6</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4300C6" w:rsidP="00027733">
            <w:pPr>
              <w:ind w:firstLine="0"/>
            </w:pPr>
            <w:r>
              <w:t>1</w:t>
            </w:r>
          </w:p>
        </w:tc>
        <w:tc>
          <w:tcPr>
            <w:tcW w:w="2040" w:type="dxa"/>
          </w:tcPr>
          <w:p w:rsidR="00F41ED8" w:rsidRDefault="004300C6" w:rsidP="00027733">
            <w:pPr>
              <w:ind w:firstLine="0"/>
            </w:pPr>
            <w:r>
              <w:t>1</w:t>
            </w:r>
          </w:p>
        </w:tc>
        <w:tc>
          <w:tcPr>
            <w:tcW w:w="2040" w:type="dxa"/>
          </w:tcPr>
          <w:p w:rsidR="00F41ED8" w:rsidRDefault="004300C6" w:rsidP="00027733">
            <w:pPr>
              <w:ind w:firstLine="0"/>
            </w:pPr>
            <w:r>
              <w:t>0</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Default="004300C6" w:rsidP="00027733">
            <w:pPr>
              <w:ind w:firstLine="0"/>
            </w:pPr>
            <w:r>
              <w:t>2</w:t>
            </w:r>
          </w:p>
        </w:tc>
        <w:tc>
          <w:tcPr>
            <w:tcW w:w="2040" w:type="dxa"/>
          </w:tcPr>
          <w:p w:rsidR="00F41ED8" w:rsidRDefault="004300C6" w:rsidP="00027733">
            <w:pPr>
              <w:ind w:firstLine="0"/>
            </w:pPr>
            <w:r>
              <w:t>1</w:t>
            </w:r>
          </w:p>
        </w:tc>
        <w:tc>
          <w:tcPr>
            <w:tcW w:w="2040" w:type="dxa"/>
          </w:tcPr>
          <w:p w:rsidR="00F41ED8" w:rsidRDefault="004300C6" w:rsidP="00027733">
            <w:pPr>
              <w:ind w:firstLine="0"/>
            </w:pPr>
            <w:r>
              <w:t>0</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1D6F32" w:rsidP="00027733">
            <w:pPr>
              <w:ind w:firstLine="0"/>
            </w:pPr>
            <w:r>
              <w:t>35</w:t>
            </w:r>
          </w:p>
        </w:tc>
        <w:tc>
          <w:tcPr>
            <w:tcW w:w="2040" w:type="dxa"/>
          </w:tcPr>
          <w:p w:rsidR="00226C3D" w:rsidRDefault="001D6F32" w:rsidP="00027733">
            <w:pPr>
              <w:ind w:firstLine="0"/>
            </w:pPr>
            <w:r>
              <w:t>35</w:t>
            </w:r>
          </w:p>
        </w:tc>
        <w:tc>
          <w:tcPr>
            <w:tcW w:w="2040" w:type="dxa"/>
          </w:tcPr>
          <w:p w:rsidR="00226C3D" w:rsidRDefault="001D6F32" w:rsidP="00027733">
            <w:pPr>
              <w:ind w:firstLine="0"/>
            </w:pPr>
            <w:r>
              <w:t>N/A</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4300C6" w:rsidP="00027733">
            <w:pPr>
              <w:ind w:firstLine="0"/>
            </w:pPr>
            <w:r>
              <w:t>0</w:t>
            </w:r>
          </w:p>
        </w:tc>
        <w:tc>
          <w:tcPr>
            <w:tcW w:w="2040" w:type="dxa"/>
          </w:tcPr>
          <w:p w:rsidR="00226C3D" w:rsidRDefault="004300C6" w:rsidP="00027733">
            <w:pPr>
              <w:ind w:firstLine="0"/>
            </w:pPr>
            <w:r>
              <w:t>0</w:t>
            </w:r>
          </w:p>
        </w:tc>
        <w:tc>
          <w:tcPr>
            <w:tcW w:w="2040" w:type="dxa"/>
          </w:tcPr>
          <w:p w:rsidR="00226C3D" w:rsidRDefault="004300C6" w:rsidP="00027733">
            <w:pPr>
              <w:ind w:firstLine="0"/>
            </w:pPr>
            <w:r>
              <w:t>0</w:t>
            </w:r>
          </w:p>
        </w:tc>
      </w:tr>
      <w:tr w:rsidR="00226C3D" w:rsidTr="00027733">
        <w:trPr>
          <w:trHeight w:hRule="exact" w:val="373"/>
        </w:trPr>
        <w:tc>
          <w:tcPr>
            <w:tcW w:w="4089" w:type="dxa"/>
          </w:tcPr>
          <w:p w:rsidR="00226C3D" w:rsidRDefault="00226C3D" w:rsidP="00027733">
            <w:pPr>
              <w:ind w:firstLine="0"/>
            </w:pPr>
            <w:r>
              <w:t>Students Served Annually</w:t>
            </w:r>
          </w:p>
        </w:tc>
        <w:tc>
          <w:tcPr>
            <w:tcW w:w="1847" w:type="dxa"/>
          </w:tcPr>
          <w:p w:rsidR="00226C3D" w:rsidRDefault="004300C6" w:rsidP="00027733">
            <w:pPr>
              <w:ind w:firstLine="0"/>
            </w:pPr>
            <w:r>
              <w:t>N/A</w:t>
            </w:r>
          </w:p>
        </w:tc>
        <w:tc>
          <w:tcPr>
            <w:tcW w:w="2040" w:type="dxa"/>
          </w:tcPr>
          <w:p w:rsidR="00226C3D" w:rsidRDefault="004300C6" w:rsidP="00027733">
            <w:pPr>
              <w:ind w:firstLine="0"/>
            </w:pPr>
            <w:r>
              <w:t>N/A</w:t>
            </w:r>
          </w:p>
        </w:tc>
        <w:tc>
          <w:tcPr>
            <w:tcW w:w="2040" w:type="dxa"/>
            <w:tcBorders>
              <w:bottom w:val="single" w:sz="4" w:space="0" w:color="auto"/>
            </w:tcBorders>
          </w:tcPr>
          <w:p w:rsidR="00226C3D" w:rsidRDefault="004300C6" w:rsidP="00027733">
            <w:pPr>
              <w:ind w:firstLine="0"/>
            </w:pPr>
            <w:r>
              <w:t>N/a</w:t>
            </w:r>
          </w:p>
        </w:tc>
      </w:tr>
      <w:tr w:rsidR="00226C3D" w:rsidTr="00027733">
        <w:trPr>
          <w:trHeight w:hRule="exact" w:val="373"/>
        </w:trPr>
        <w:tc>
          <w:tcPr>
            <w:tcW w:w="4089" w:type="dxa"/>
          </w:tcPr>
          <w:p w:rsidR="00226C3D" w:rsidRDefault="004C1141"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Default="00911868" w:rsidP="00027733">
            <w:pPr>
              <w:ind w:firstLine="0"/>
            </w:pPr>
            <w:r>
              <w:t>$12,350.00</w:t>
            </w:r>
          </w:p>
        </w:tc>
        <w:tc>
          <w:tcPr>
            <w:tcW w:w="2040" w:type="dxa"/>
          </w:tcPr>
          <w:p w:rsidR="00226C3D" w:rsidRDefault="00911868" w:rsidP="00027733">
            <w:pPr>
              <w:ind w:firstLine="0"/>
            </w:pPr>
            <w:r>
              <w:t>$12,350.00</w:t>
            </w:r>
          </w:p>
        </w:tc>
        <w:tc>
          <w:tcPr>
            <w:tcW w:w="2040" w:type="dxa"/>
          </w:tcPr>
          <w:p w:rsidR="00226C3D" w:rsidRDefault="00911868" w:rsidP="00027733">
            <w:pPr>
              <w:ind w:firstLine="0"/>
            </w:pPr>
            <w:r>
              <w:t>$12,350.00</w:t>
            </w:r>
            <w:bookmarkStart w:id="0" w:name="_GoBack"/>
            <w:bookmarkEnd w:id="0"/>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124AA7" w:rsidP="00124AA7">
            <w:pPr>
              <w:ind w:firstLine="0"/>
            </w:pPr>
            <w:r>
              <w:t xml:space="preserve">Please list areas of responsibility and any seasonal activities </w:t>
            </w:r>
            <w:r w:rsidR="007C5DEB">
              <w:t xml:space="preserve">(i.e. heavy enrollment periods for A/R) </w:t>
            </w:r>
            <w:r>
              <w:t>that may impact your department/program.</w:t>
            </w:r>
          </w:p>
          <w:p w:rsidR="002B459E" w:rsidRDefault="002B459E" w:rsidP="00124AA7">
            <w:pPr>
              <w:ind w:firstLine="0"/>
            </w:pPr>
          </w:p>
          <w:p w:rsidR="00124AA7" w:rsidRDefault="002B459E" w:rsidP="00124AA7">
            <w:pPr>
              <w:ind w:firstLine="0"/>
            </w:pPr>
            <w:r>
              <w:t xml:space="preserve">1. </w:t>
            </w:r>
            <w:r w:rsidR="001D6F32">
              <w:t>Not all of the full and part time faculty that teach at this center report to the Center Dean</w:t>
            </w:r>
            <w:r>
              <w:t>.</w:t>
            </w:r>
          </w:p>
          <w:p w:rsidR="001D6F32" w:rsidRDefault="002B459E" w:rsidP="00124AA7">
            <w:pPr>
              <w:ind w:firstLine="0"/>
            </w:pPr>
            <w:r>
              <w:t xml:space="preserve">2. </w:t>
            </w:r>
            <w:r w:rsidR="001D6F32">
              <w:t>This list only includes full time faculty members who have office space in this building and does not include the distance learning faculty who report to the Garden Grove Center dean.</w:t>
            </w:r>
          </w:p>
          <w:p w:rsidR="001D6F32" w:rsidRDefault="002B459E" w:rsidP="00124AA7">
            <w:pPr>
              <w:ind w:firstLine="0"/>
            </w:pPr>
            <w:r>
              <w:t xml:space="preserve">3. </w:t>
            </w:r>
            <w:r w:rsidR="001D6F32">
              <w:t>This list does not include Paralegal Studies where the full time faculty member has office space at the Newport Beach Center.</w:t>
            </w:r>
          </w:p>
          <w:p w:rsidR="001D6F32" w:rsidRDefault="002B459E" w:rsidP="00124AA7">
            <w:pPr>
              <w:ind w:firstLine="0"/>
            </w:pPr>
            <w:r>
              <w:t>4. The .4 full time classified staff person is the STAR facilitator whose salary is posted to Distance Learning.</w:t>
            </w:r>
          </w:p>
          <w:p w:rsidR="002B459E" w:rsidRDefault="002B459E" w:rsidP="00124AA7">
            <w:pPr>
              <w:ind w:firstLine="0"/>
            </w:pPr>
            <w:r>
              <w:t>One of the part-time classified staff is paid for through Title III funds.</w:t>
            </w:r>
          </w:p>
          <w:p w:rsidR="00124AA7" w:rsidRDefault="00124AA7" w:rsidP="00124AA7">
            <w:pPr>
              <w:ind w:firstLine="0"/>
            </w:pPr>
          </w:p>
        </w:tc>
      </w:tr>
    </w:tbl>
    <w:p w:rsidR="00124AA7" w:rsidRPr="00124AA7" w:rsidRDefault="00124AA7" w:rsidP="00124AA7"/>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0" w:type="auto"/>
        <w:tblInd w:w="1800" w:type="dxa"/>
        <w:tblLook w:val="04A0"/>
      </w:tblPr>
      <w:tblGrid>
        <w:gridCol w:w="5678"/>
        <w:gridCol w:w="5698"/>
      </w:tblGrid>
      <w:tr w:rsidR="00124AA7"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124AA7">
        <w:tc>
          <w:tcPr>
            <w:tcW w:w="6588" w:type="dxa"/>
          </w:tcPr>
          <w:p w:rsidR="00124AA7" w:rsidRDefault="002B459E" w:rsidP="00124AA7">
            <w:pPr>
              <w:pStyle w:val="ListParagraph"/>
              <w:ind w:left="0" w:firstLine="0"/>
              <w:rPr>
                <w:rFonts w:asciiTheme="majorHAnsi" w:hAnsiTheme="majorHAnsi"/>
                <w:b/>
              </w:rPr>
            </w:pPr>
            <w:r>
              <w:rPr>
                <w:rFonts w:asciiTheme="majorHAnsi" w:hAnsiTheme="majorHAnsi"/>
                <w:b/>
              </w:rPr>
              <w:t>N/A</w:t>
            </w:r>
          </w:p>
        </w:tc>
        <w:tc>
          <w:tcPr>
            <w:tcW w:w="6588" w:type="dxa"/>
          </w:tcPr>
          <w:p w:rsidR="00124AA7" w:rsidRDefault="002B459E" w:rsidP="00124AA7">
            <w:pPr>
              <w:pStyle w:val="ListParagraph"/>
              <w:ind w:left="0" w:firstLine="0"/>
              <w:rPr>
                <w:rFonts w:asciiTheme="majorHAnsi" w:hAnsiTheme="majorHAnsi"/>
                <w:b/>
              </w:rPr>
            </w:pPr>
            <w:r>
              <w:rPr>
                <w:rFonts w:asciiTheme="majorHAnsi" w:hAnsiTheme="majorHAnsi"/>
                <w:b/>
              </w:rPr>
              <w:t>N/A</w:t>
            </w: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037376" w:rsidTr="00124AA7">
        <w:tc>
          <w:tcPr>
            <w:tcW w:w="6588" w:type="dxa"/>
          </w:tcPr>
          <w:p w:rsidR="00037376" w:rsidRDefault="00037376" w:rsidP="00124AA7">
            <w:pPr>
              <w:pStyle w:val="ListParagraph"/>
              <w:ind w:left="0" w:firstLine="0"/>
              <w:rPr>
                <w:rFonts w:asciiTheme="majorHAnsi" w:hAnsiTheme="majorHAnsi"/>
                <w:b/>
              </w:rPr>
            </w:pPr>
          </w:p>
        </w:tc>
        <w:tc>
          <w:tcPr>
            <w:tcW w:w="6588" w:type="dxa"/>
          </w:tcPr>
          <w:p w:rsidR="00037376" w:rsidRDefault="00037376" w:rsidP="00124AA7">
            <w:pPr>
              <w:pStyle w:val="ListParagraph"/>
              <w:ind w:left="0" w:firstLine="0"/>
              <w:rPr>
                <w:rFonts w:asciiTheme="majorHAnsi" w:hAnsiTheme="majorHAnsi"/>
                <w:b/>
              </w:rPr>
            </w:pP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0872BB">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0872BB">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0872BB">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2B459E" w:rsidTr="00CF6AE9">
        <w:trPr>
          <w:trHeight w:val="504"/>
        </w:trPr>
        <w:tc>
          <w:tcPr>
            <w:tcW w:w="5058" w:type="dxa"/>
          </w:tcPr>
          <w:p w:rsidR="002B459E" w:rsidRPr="0099238F" w:rsidRDefault="002B459E" w:rsidP="007618FA">
            <w:pPr>
              <w:pStyle w:val="ListParagraph"/>
              <w:numPr>
                <w:ilvl w:val="0"/>
                <w:numId w:val="11"/>
              </w:numPr>
              <w:spacing w:before="100" w:beforeAutospacing="1" w:after="100" w:afterAutospacing="1"/>
              <w:rPr>
                <w:rFonts w:ascii="Arial" w:eastAsia="Times New Roman" w:hAnsi="Arial" w:cs="Arial"/>
                <w:sz w:val="20"/>
                <w:szCs w:val="20"/>
              </w:rPr>
            </w:pPr>
            <w:r w:rsidRPr="002B459E">
              <w:rPr>
                <w:rFonts w:ascii="Arial" w:hAnsi="Arial" w:cs="Arial"/>
                <w:bCs/>
                <w:color w:val="000000"/>
                <w:sz w:val="20"/>
                <w:szCs w:val="20"/>
              </w:rPr>
              <w:t>Students will state that their specific computer application or other software-use skills have improved</w:t>
            </w:r>
            <w:r w:rsidRPr="002B459E">
              <w:rPr>
                <w:rFonts w:ascii="Arial" w:eastAsia="Times New Roman" w:hAnsi="Arial" w:cs="Arial"/>
                <w:sz w:val="20"/>
                <w:szCs w:val="20"/>
              </w:rPr>
              <w:t xml:space="preserve"> as result of receiving services in the Information Commons.</w:t>
            </w:r>
            <w:r w:rsidRPr="002B459E">
              <w:rPr>
                <w:rFonts w:ascii="Arial" w:hAnsi="Arial" w:cs="Arial"/>
                <w:bCs/>
                <w:color w:val="000000"/>
                <w:sz w:val="20"/>
                <w:szCs w:val="20"/>
              </w:rPr>
              <w:t>.</w:t>
            </w:r>
          </w:p>
        </w:tc>
        <w:tc>
          <w:tcPr>
            <w:tcW w:w="5040" w:type="dxa"/>
          </w:tcPr>
          <w:p w:rsidR="002B459E" w:rsidRDefault="007618FA" w:rsidP="000872BB">
            <w:pPr>
              <w:ind w:firstLine="0"/>
            </w:pPr>
            <w:r>
              <w:t>Design tutorials, workshops and individual assistance to learn basic computer skills</w:t>
            </w:r>
          </w:p>
        </w:tc>
        <w:tc>
          <w:tcPr>
            <w:tcW w:w="4572" w:type="dxa"/>
          </w:tcPr>
          <w:p w:rsidR="002B459E" w:rsidRDefault="007618FA" w:rsidP="000872BB">
            <w:pPr>
              <w:ind w:firstLine="0"/>
            </w:pPr>
            <w:r>
              <w:t>To be surveyed in April 2014</w:t>
            </w:r>
          </w:p>
        </w:tc>
      </w:tr>
      <w:tr w:rsidR="002B459E" w:rsidTr="00CF6AE9">
        <w:trPr>
          <w:trHeight w:val="504"/>
        </w:trPr>
        <w:tc>
          <w:tcPr>
            <w:tcW w:w="5058" w:type="dxa"/>
          </w:tcPr>
          <w:p w:rsidR="002B459E" w:rsidRDefault="002B459E" w:rsidP="002B459E">
            <w:pPr>
              <w:pStyle w:val="ListParagraph"/>
              <w:numPr>
                <w:ilvl w:val="0"/>
                <w:numId w:val="11"/>
              </w:numPr>
            </w:pPr>
            <w:r w:rsidRPr="002B459E">
              <w:rPr>
                <w:rFonts w:ascii="Arial" w:eastAsia="Times New Roman" w:hAnsi="Arial" w:cs="Arial"/>
                <w:sz w:val="20"/>
                <w:szCs w:val="20"/>
              </w:rPr>
              <w:t>Students will state their grades have improved as result of receiving services and/or studying in or using equipment in the Information Commons</w:t>
            </w:r>
            <w:r>
              <w:t xml:space="preserve"> </w:t>
            </w:r>
          </w:p>
        </w:tc>
        <w:tc>
          <w:tcPr>
            <w:tcW w:w="5040" w:type="dxa"/>
          </w:tcPr>
          <w:p w:rsidR="002B459E" w:rsidRDefault="007618FA" w:rsidP="000872BB">
            <w:pPr>
              <w:ind w:firstLine="0"/>
            </w:pPr>
            <w:r>
              <w:t>Tutoring Services</w:t>
            </w:r>
          </w:p>
        </w:tc>
        <w:tc>
          <w:tcPr>
            <w:tcW w:w="4572" w:type="dxa"/>
          </w:tcPr>
          <w:p w:rsidR="002B459E" w:rsidRDefault="007618FA" w:rsidP="000872BB">
            <w:pPr>
              <w:ind w:firstLine="0"/>
            </w:pPr>
            <w:r>
              <w:t>To be surveyed in April 2014</w:t>
            </w:r>
          </w:p>
        </w:tc>
      </w:tr>
      <w:tr w:rsidR="002B459E" w:rsidTr="00CF6AE9">
        <w:trPr>
          <w:trHeight w:val="504"/>
        </w:trPr>
        <w:tc>
          <w:tcPr>
            <w:tcW w:w="5058" w:type="dxa"/>
          </w:tcPr>
          <w:p w:rsidR="002B459E" w:rsidRDefault="002B459E" w:rsidP="007618FA">
            <w:pPr>
              <w:pStyle w:val="ListParagraph"/>
              <w:numPr>
                <w:ilvl w:val="0"/>
                <w:numId w:val="11"/>
              </w:numPr>
              <w:spacing w:before="100" w:beforeAutospacing="1" w:after="100" w:afterAutospacing="1"/>
            </w:pPr>
            <w:r w:rsidRPr="007618FA">
              <w:rPr>
                <w:rFonts w:ascii="Arial" w:eastAsia="Times New Roman" w:hAnsi="Arial" w:cs="Arial"/>
                <w:bCs/>
                <w:color w:val="000000"/>
                <w:sz w:val="20"/>
                <w:szCs w:val="20"/>
              </w:rPr>
              <w:t>Students are aware of and satisfied with services in the Information Commons.</w:t>
            </w:r>
          </w:p>
        </w:tc>
        <w:tc>
          <w:tcPr>
            <w:tcW w:w="5040" w:type="dxa"/>
          </w:tcPr>
          <w:p w:rsidR="002B459E" w:rsidRDefault="007618FA" w:rsidP="000872BB">
            <w:pPr>
              <w:ind w:firstLine="0"/>
            </w:pPr>
            <w:r>
              <w:t>Survey of student needs</w:t>
            </w:r>
          </w:p>
        </w:tc>
        <w:tc>
          <w:tcPr>
            <w:tcW w:w="4572" w:type="dxa"/>
          </w:tcPr>
          <w:p w:rsidR="002B459E" w:rsidRDefault="007618FA" w:rsidP="000872BB">
            <w:pPr>
              <w:ind w:firstLine="0"/>
            </w:pPr>
            <w:r>
              <w:t>To be surveyed in April 2014</w:t>
            </w:r>
          </w:p>
        </w:tc>
      </w:tr>
      <w:tr w:rsidR="007618FA" w:rsidTr="00CF6AE9">
        <w:trPr>
          <w:trHeight w:val="504"/>
        </w:trPr>
        <w:tc>
          <w:tcPr>
            <w:tcW w:w="5058" w:type="dxa"/>
          </w:tcPr>
          <w:p w:rsidR="007618FA" w:rsidRPr="007618FA" w:rsidRDefault="007618FA" w:rsidP="007618FA">
            <w:pPr>
              <w:pStyle w:val="ListParagraph"/>
              <w:numPr>
                <w:ilvl w:val="0"/>
                <w:numId w:val="11"/>
              </w:numPr>
              <w:autoSpaceDE w:val="0"/>
              <w:autoSpaceDN w:val="0"/>
              <w:adjustRightInd w:val="0"/>
              <w:rPr>
                <w:rFonts w:ascii="Arial" w:hAnsi="Arial" w:cs="Arial"/>
                <w:sz w:val="20"/>
                <w:szCs w:val="20"/>
              </w:rPr>
            </w:pPr>
            <w:r w:rsidRPr="007618FA">
              <w:rPr>
                <w:rFonts w:ascii="Arial" w:hAnsi="Arial" w:cs="Arial"/>
                <w:sz w:val="20"/>
                <w:szCs w:val="20"/>
              </w:rPr>
              <w:t>Students will demonstrate knowledge of the availability of textbooks in the Reserve Library. -With the library questions.</w:t>
            </w:r>
          </w:p>
        </w:tc>
        <w:tc>
          <w:tcPr>
            <w:tcW w:w="5040" w:type="dxa"/>
          </w:tcPr>
          <w:p w:rsidR="007618FA" w:rsidRDefault="007618FA" w:rsidP="000872BB">
            <w:pPr>
              <w:ind w:firstLine="0"/>
            </w:pPr>
            <w:r>
              <w:t>Signage, faculty instruction</w:t>
            </w:r>
          </w:p>
        </w:tc>
        <w:tc>
          <w:tcPr>
            <w:tcW w:w="4572" w:type="dxa"/>
          </w:tcPr>
          <w:p w:rsidR="007618FA" w:rsidRDefault="007618FA" w:rsidP="000872BB">
            <w:pPr>
              <w:ind w:firstLine="0"/>
            </w:pPr>
            <w:r>
              <w:t>To be surveyed in April 2014</w:t>
            </w: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Default="007618FA" w:rsidP="007618FA">
            <w:pPr>
              <w:ind w:firstLine="0"/>
              <w:rPr>
                <w:rFonts w:asciiTheme="majorHAnsi" w:hAnsiTheme="majorHAnsi" w:cstheme="minorHAnsi"/>
                <w:b/>
              </w:rPr>
            </w:pPr>
            <w:r>
              <w:rPr>
                <w:rFonts w:asciiTheme="majorHAnsi" w:hAnsiTheme="majorHAnsi" w:cstheme="minorHAnsi"/>
              </w:rPr>
              <w:t>The Garden Grove Center and the Information Commons have recently added the Lab assistant to help students and facilitate the lab.  Use has increased and the students seem very happy with the hours of operation.  A follow up student survey will be completed in the Spring.</w:t>
            </w:r>
          </w:p>
        </w:tc>
      </w:tr>
    </w:tbl>
    <w:p w:rsidR="00CF6AE9" w:rsidRDefault="00CF6AE9" w:rsidP="00037376">
      <w:pPr>
        <w:ind w:left="720"/>
        <w:rPr>
          <w:rFonts w:asciiTheme="majorHAnsi" w:hAnsiTheme="majorHAnsi" w:cstheme="minorHAnsi"/>
          <w:b/>
        </w:rPr>
      </w:pPr>
    </w:p>
    <w:p w:rsidR="009352C9" w:rsidRPr="00F41ED8" w:rsidRDefault="00CF6AE9" w:rsidP="007618FA">
      <w:pPr>
        <w:spacing w:line="276" w:lineRule="auto"/>
        <w:ind w:firstLine="0"/>
        <w:rPr>
          <w:rFonts w:asciiTheme="majorHAnsi" w:hAnsiTheme="majorHAnsi"/>
          <w:b/>
        </w:rPr>
      </w:pPr>
      <w:r>
        <w:rPr>
          <w:rFonts w:asciiTheme="majorHAnsi" w:hAnsiTheme="majorHAnsi"/>
          <w:b/>
        </w:rPr>
        <w:br w:type="page"/>
      </w:r>
      <w:r w:rsidR="00037376">
        <w:rPr>
          <w:rFonts w:asciiTheme="majorHAnsi" w:hAnsiTheme="majorHAnsi"/>
          <w:b/>
        </w:rPr>
        <w:lastRenderedPageBreak/>
        <w:t>Prog</w:t>
      </w:r>
      <w:r>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B34D38">
        <w:trPr>
          <w:trHeight w:val="504"/>
        </w:trPr>
        <w:tc>
          <w:tcPr>
            <w:tcW w:w="4323" w:type="dxa"/>
          </w:tcPr>
          <w:p w:rsidR="007618FA" w:rsidRDefault="007618FA" w:rsidP="007618FA">
            <w:pPr>
              <w:pStyle w:val="ListParagraph"/>
              <w:numPr>
                <w:ilvl w:val="0"/>
                <w:numId w:val="10"/>
              </w:numPr>
              <w:spacing w:line="276" w:lineRule="auto"/>
            </w:pPr>
            <w:r>
              <w:t>The Information Commons should expand the tutoring services that are currently offered to include tutoring options for Math, Psychology, and other CTE programs.</w:t>
            </w:r>
          </w:p>
          <w:p w:rsidR="00B21C37" w:rsidRDefault="00B21C37" w:rsidP="007618FA">
            <w:pPr>
              <w:pStyle w:val="ListParagraph"/>
            </w:pPr>
          </w:p>
        </w:tc>
        <w:tc>
          <w:tcPr>
            <w:tcW w:w="862" w:type="dxa"/>
          </w:tcPr>
          <w:p w:rsidR="00B21C37" w:rsidRDefault="007618FA" w:rsidP="00B34D38">
            <w:pPr>
              <w:ind w:firstLine="0"/>
            </w:pPr>
            <w:r>
              <w:t>X</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7618FA" w:rsidP="00B34D38">
            <w:pPr>
              <w:ind w:firstLine="0"/>
            </w:pPr>
            <w:r>
              <w:t>Always room to add more</w:t>
            </w:r>
          </w:p>
        </w:tc>
      </w:tr>
      <w:tr w:rsidR="00B21C37" w:rsidTr="00B34D38">
        <w:trPr>
          <w:trHeight w:val="504"/>
        </w:trPr>
        <w:tc>
          <w:tcPr>
            <w:tcW w:w="4323" w:type="dxa"/>
          </w:tcPr>
          <w:p w:rsidR="007618FA" w:rsidRDefault="007618FA" w:rsidP="007618FA">
            <w:pPr>
              <w:pStyle w:val="ListParagraph"/>
              <w:numPr>
                <w:ilvl w:val="0"/>
                <w:numId w:val="10"/>
              </w:numPr>
              <w:spacing w:line="276" w:lineRule="auto"/>
            </w:pPr>
            <w:r>
              <w:t>Lab hour expansion should be considered as more students utilize the Information Commons and some consideration to having the lab open on weekends should be researched.</w:t>
            </w:r>
          </w:p>
          <w:p w:rsidR="00B21C37" w:rsidRDefault="00B21C37" w:rsidP="007618FA">
            <w:pPr>
              <w:ind w:left="360" w:firstLine="0"/>
            </w:pPr>
          </w:p>
        </w:tc>
        <w:tc>
          <w:tcPr>
            <w:tcW w:w="862" w:type="dxa"/>
          </w:tcPr>
          <w:p w:rsidR="00B21C37" w:rsidRDefault="007618FA" w:rsidP="00B34D38">
            <w:pPr>
              <w:ind w:firstLine="0"/>
            </w:pPr>
            <w:r>
              <w:t>X</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B21C37" w:rsidTr="00B34D38">
        <w:trPr>
          <w:trHeight w:val="504"/>
        </w:trPr>
        <w:tc>
          <w:tcPr>
            <w:tcW w:w="4323" w:type="dxa"/>
          </w:tcPr>
          <w:p w:rsidR="00B21C37" w:rsidRDefault="007618FA" w:rsidP="007618FA">
            <w:pPr>
              <w:pStyle w:val="ListParagraph"/>
              <w:numPr>
                <w:ilvl w:val="0"/>
                <w:numId w:val="10"/>
              </w:numPr>
              <w:spacing w:line="276" w:lineRule="auto"/>
            </w:pPr>
            <w:r>
              <w:t>Institutionalization of the staffing and equipment costs for maintaining the Information Commons should be investigated.</w:t>
            </w:r>
          </w:p>
        </w:tc>
        <w:tc>
          <w:tcPr>
            <w:tcW w:w="862" w:type="dxa"/>
          </w:tcPr>
          <w:p w:rsidR="00B21C37" w:rsidRDefault="00B21C37" w:rsidP="00B34D38">
            <w:pPr>
              <w:ind w:firstLine="0"/>
            </w:pPr>
          </w:p>
        </w:tc>
        <w:tc>
          <w:tcPr>
            <w:tcW w:w="862" w:type="dxa"/>
          </w:tcPr>
          <w:p w:rsidR="00B21C37" w:rsidRDefault="007618FA" w:rsidP="00B34D38">
            <w:pPr>
              <w:ind w:firstLine="0"/>
            </w:pPr>
            <w:r>
              <w:t>X</w:t>
            </w: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7618FA" w:rsidP="00B34D38">
            <w:pPr>
              <w:ind w:firstLine="0"/>
            </w:pPr>
            <w:r>
              <w:t>The full time classified member who works as the lab assistant in the Information Commons is out of general funds, we need to find ongoing funding for 12 hour per week part time lab assistant that is currently paid for through Title III funds.</w:t>
            </w:r>
          </w:p>
        </w:tc>
      </w:tr>
    </w:tbl>
    <w:p w:rsidR="00B16BAC" w:rsidRDefault="00B16BAC" w:rsidP="00B21C37">
      <w:pPr>
        <w:ind w:left="72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Default="00B026FA" w:rsidP="00B21C37">
            <w:pPr>
              <w:ind w:firstLine="0"/>
              <w:rPr>
                <w:rFonts w:asciiTheme="majorHAnsi" w:hAnsiTheme="majorHAnsi"/>
                <w:b/>
              </w:rPr>
            </w:pPr>
          </w:p>
          <w:p w:rsidR="00B026FA" w:rsidRDefault="007618FA" w:rsidP="00B21C37">
            <w:pPr>
              <w:ind w:firstLine="0"/>
              <w:rPr>
                <w:rFonts w:asciiTheme="majorHAnsi" w:hAnsiTheme="majorHAnsi"/>
                <w:b/>
              </w:rPr>
            </w:pPr>
            <w:r>
              <w:rPr>
                <w:rFonts w:asciiTheme="majorHAnsi" w:hAnsiTheme="majorHAnsi"/>
                <w:b/>
              </w:rPr>
              <w:t>Great Progress</w:t>
            </w:r>
          </w:p>
        </w:tc>
      </w:tr>
    </w:tbl>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Pr="001F5DAD" w:rsidRDefault="001F5DAD" w:rsidP="00B21C37">
            <w:pPr>
              <w:ind w:firstLine="0"/>
              <w:rPr>
                <w:rFonts w:asciiTheme="majorHAnsi" w:hAnsiTheme="majorHAnsi"/>
              </w:rPr>
            </w:pPr>
            <w:r w:rsidRPr="001F5DAD">
              <w:rPr>
                <w:rFonts w:asciiTheme="majorHAnsi" w:hAnsiTheme="majorHAnsi"/>
              </w:rPr>
              <w:lastRenderedPageBreak/>
              <w:t>Expand Workshops and Student Success Activities</w:t>
            </w:r>
          </w:p>
        </w:tc>
        <w:tc>
          <w:tcPr>
            <w:tcW w:w="998" w:type="dxa"/>
          </w:tcPr>
          <w:p w:rsidR="0020697E" w:rsidRPr="001F5DAD" w:rsidRDefault="001F5DAD" w:rsidP="00B21C37">
            <w:pPr>
              <w:ind w:firstLine="0"/>
              <w:rPr>
                <w:rFonts w:asciiTheme="majorHAnsi" w:hAnsiTheme="majorHAnsi"/>
              </w:rPr>
            </w:pPr>
            <w:r w:rsidRPr="001F5DAD">
              <w:rPr>
                <w:rFonts w:asciiTheme="majorHAnsi" w:hAnsiTheme="majorHAnsi"/>
              </w:rPr>
              <w:t>1</w:t>
            </w:r>
          </w:p>
        </w:tc>
        <w:tc>
          <w:tcPr>
            <w:tcW w:w="1136" w:type="dxa"/>
          </w:tcPr>
          <w:p w:rsidR="0020697E" w:rsidRPr="001F5DAD" w:rsidRDefault="001F5DAD" w:rsidP="00B21C37">
            <w:pPr>
              <w:ind w:firstLine="0"/>
              <w:rPr>
                <w:rFonts w:asciiTheme="majorHAnsi" w:hAnsiTheme="majorHAnsi"/>
              </w:rPr>
            </w:pPr>
            <w:r w:rsidRPr="001F5DAD">
              <w:rPr>
                <w:rFonts w:asciiTheme="majorHAnsi" w:hAnsiTheme="majorHAnsi"/>
              </w:rPr>
              <w:t>5/14</w:t>
            </w:r>
          </w:p>
        </w:tc>
        <w:tc>
          <w:tcPr>
            <w:tcW w:w="1024" w:type="dxa"/>
          </w:tcPr>
          <w:p w:rsidR="0020697E" w:rsidRPr="001F5DAD" w:rsidRDefault="001F5DAD" w:rsidP="00B21C37">
            <w:pPr>
              <w:ind w:firstLine="0"/>
              <w:rPr>
                <w:rFonts w:asciiTheme="majorHAnsi" w:hAnsiTheme="majorHAnsi"/>
              </w:rPr>
            </w:pPr>
            <w:r w:rsidRPr="001F5DAD">
              <w:rPr>
                <w:rFonts w:asciiTheme="majorHAnsi" w:hAnsiTheme="majorHAnsi"/>
              </w:rPr>
              <w:t>Marin</w:t>
            </w:r>
          </w:p>
        </w:tc>
        <w:tc>
          <w:tcPr>
            <w:tcW w:w="4860" w:type="dxa"/>
          </w:tcPr>
          <w:p w:rsidR="0020697E" w:rsidRPr="001F5DAD" w:rsidRDefault="001F5DAD" w:rsidP="00B21C37">
            <w:pPr>
              <w:ind w:firstLine="0"/>
              <w:rPr>
                <w:rFonts w:asciiTheme="majorHAnsi" w:hAnsiTheme="majorHAnsi"/>
              </w:rPr>
            </w:pPr>
            <w:r w:rsidRPr="001F5DAD">
              <w:rPr>
                <w:rFonts w:asciiTheme="majorHAnsi" w:hAnsiTheme="majorHAnsi"/>
              </w:rPr>
              <w:t>In progress</w:t>
            </w:r>
          </w:p>
        </w:tc>
      </w:tr>
      <w:tr w:rsidR="005140B1" w:rsidTr="008568C8">
        <w:tc>
          <w:tcPr>
            <w:tcW w:w="6652" w:type="dxa"/>
          </w:tcPr>
          <w:p w:rsidR="005140B1" w:rsidRPr="007A185A" w:rsidRDefault="005140B1" w:rsidP="00A24396">
            <w:pPr>
              <w:ind w:firstLine="0"/>
              <w:rPr>
                <w:rFonts w:asciiTheme="majorHAnsi" w:hAnsiTheme="majorHAnsi"/>
              </w:rPr>
            </w:pPr>
            <w:r>
              <w:rPr>
                <w:rFonts w:asciiTheme="majorHAnsi" w:hAnsiTheme="majorHAnsi"/>
              </w:rPr>
              <w:t>The Garden Grove Center will develop materials and/or processes to provide students with easy access to common information. (i.e. FAQs/Phone Tree)</w:t>
            </w:r>
          </w:p>
        </w:tc>
        <w:tc>
          <w:tcPr>
            <w:tcW w:w="998" w:type="dxa"/>
          </w:tcPr>
          <w:p w:rsidR="005140B1" w:rsidRDefault="005140B1" w:rsidP="00A24396">
            <w:pPr>
              <w:ind w:firstLine="0"/>
              <w:rPr>
                <w:rFonts w:asciiTheme="majorHAnsi" w:hAnsiTheme="majorHAnsi"/>
                <w:b/>
              </w:rPr>
            </w:pPr>
            <w:r>
              <w:rPr>
                <w:rFonts w:asciiTheme="majorHAnsi" w:hAnsiTheme="majorHAnsi"/>
                <w:b/>
              </w:rPr>
              <w:t>1</w:t>
            </w:r>
          </w:p>
        </w:tc>
        <w:tc>
          <w:tcPr>
            <w:tcW w:w="1136" w:type="dxa"/>
          </w:tcPr>
          <w:p w:rsidR="005140B1" w:rsidRPr="007A185A" w:rsidRDefault="005140B1" w:rsidP="00A24396">
            <w:pPr>
              <w:ind w:firstLine="0"/>
              <w:rPr>
                <w:rFonts w:asciiTheme="majorHAnsi" w:hAnsiTheme="majorHAnsi"/>
              </w:rPr>
            </w:pPr>
            <w:r>
              <w:rPr>
                <w:rFonts w:asciiTheme="majorHAnsi" w:hAnsiTheme="majorHAnsi"/>
              </w:rPr>
              <w:t>Ongoing</w:t>
            </w:r>
          </w:p>
        </w:tc>
        <w:tc>
          <w:tcPr>
            <w:tcW w:w="1024" w:type="dxa"/>
          </w:tcPr>
          <w:p w:rsidR="005140B1" w:rsidRPr="007A185A" w:rsidRDefault="005140B1" w:rsidP="00A24396">
            <w:pPr>
              <w:ind w:firstLine="0"/>
              <w:rPr>
                <w:rFonts w:asciiTheme="majorHAnsi" w:hAnsiTheme="majorHAnsi"/>
              </w:rPr>
            </w:pPr>
            <w:r>
              <w:rPr>
                <w:rFonts w:asciiTheme="majorHAnsi" w:hAnsiTheme="majorHAnsi"/>
              </w:rPr>
              <w:t>Carolyn Clausen</w:t>
            </w:r>
          </w:p>
        </w:tc>
        <w:tc>
          <w:tcPr>
            <w:tcW w:w="4860" w:type="dxa"/>
          </w:tcPr>
          <w:p w:rsidR="005140B1" w:rsidRPr="001F5DAD" w:rsidRDefault="005140B1" w:rsidP="00B21C37">
            <w:pPr>
              <w:ind w:firstLine="0"/>
              <w:rPr>
                <w:rFonts w:asciiTheme="majorHAnsi" w:hAnsiTheme="majorHAnsi"/>
              </w:rPr>
            </w:pPr>
          </w:p>
        </w:tc>
      </w:tr>
      <w:tr w:rsidR="005140B1" w:rsidTr="008568C8">
        <w:tc>
          <w:tcPr>
            <w:tcW w:w="6652" w:type="dxa"/>
          </w:tcPr>
          <w:p w:rsidR="005140B1" w:rsidRDefault="005140B1" w:rsidP="00A24396">
            <w:pPr>
              <w:ind w:firstLine="0"/>
              <w:rPr>
                <w:rFonts w:asciiTheme="majorHAnsi" w:hAnsiTheme="majorHAnsi"/>
              </w:rPr>
            </w:pPr>
            <w:r>
              <w:rPr>
                <w:rFonts w:asciiTheme="majorHAnsi" w:hAnsiTheme="majorHAnsi"/>
              </w:rPr>
              <w:t>The Garden Grove Center will arrange Faculty and Staff appreciation activities.</w:t>
            </w:r>
          </w:p>
        </w:tc>
        <w:tc>
          <w:tcPr>
            <w:tcW w:w="998" w:type="dxa"/>
          </w:tcPr>
          <w:p w:rsidR="005140B1" w:rsidRDefault="005140B1" w:rsidP="00A24396">
            <w:pPr>
              <w:ind w:firstLine="0"/>
              <w:rPr>
                <w:rFonts w:asciiTheme="majorHAnsi" w:hAnsiTheme="majorHAnsi"/>
                <w:b/>
              </w:rPr>
            </w:pPr>
            <w:r>
              <w:rPr>
                <w:rFonts w:asciiTheme="majorHAnsi" w:hAnsiTheme="majorHAnsi"/>
                <w:b/>
              </w:rPr>
              <w:t>2</w:t>
            </w:r>
          </w:p>
        </w:tc>
        <w:tc>
          <w:tcPr>
            <w:tcW w:w="1136" w:type="dxa"/>
          </w:tcPr>
          <w:p w:rsidR="005140B1" w:rsidRDefault="005140B1" w:rsidP="00A24396">
            <w:pPr>
              <w:ind w:firstLine="0"/>
              <w:rPr>
                <w:rFonts w:asciiTheme="majorHAnsi" w:hAnsiTheme="majorHAnsi"/>
              </w:rPr>
            </w:pPr>
            <w:r>
              <w:rPr>
                <w:rFonts w:asciiTheme="majorHAnsi" w:hAnsiTheme="majorHAnsi"/>
              </w:rPr>
              <w:t>Ongoing</w:t>
            </w:r>
          </w:p>
        </w:tc>
        <w:tc>
          <w:tcPr>
            <w:tcW w:w="1024" w:type="dxa"/>
          </w:tcPr>
          <w:p w:rsidR="005140B1" w:rsidRDefault="005140B1" w:rsidP="00A24396">
            <w:pPr>
              <w:ind w:firstLine="0"/>
              <w:rPr>
                <w:rFonts w:asciiTheme="majorHAnsi" w:hAnsiTheme="majorHAnsi"/>
              </w:rPr>
            </w:pPr>
            <w:r>
              <w:rPr>
                <w:rFonts w:asciiTheme="majorHAnsi" w:hAnsiTheme="majorHAnsi"/>
              </w:rPr>
              <w:t>Carolyn Clausen</w:t>
            </w:r>
          </w:p>
        </w:tc>
        <w:tc>
          <w:tcPr>
            <w:tcW w:w="4860" w:type="dxa"/>
          </w:tcPr>
          <w:p w:rsidR="005140B1" w:rsidRPr="001F5DAD" w:rsidRDefault="005140B1" w:rsidP="00B21C37">
            <w:pPr>
              <w:ind w:firstLine="0"/>
              <w:rPr>
                <w:rFonts w:asciiTheme="majorHAnsi" w:hAnsiTheme="majorHAnsi"/>
              </w:rPr>
            </w:pPr>
          </w:p>
        </w:tc>
      </w:tr>
      <w:tr w:rsidR="005140B1" w:rsidTr="008568C8">
        <w:tc>
          <w:tcPr>
            <w:tcW w:w="6652" w:type="dxa"/>
          </w:tcPr>
          <w:p w:rsidR="005140B1" w:rsidRDefault="005140B1" w:rsidP="00A24396">
            <w:pPr>
              <w:ind w:firstLine="0"/>
              <w:rPr>
                <w:rFonts w:asciiTheme="majorHAnsi" w:hAnsiTheme="majorHAnsi"/>
              </w:rPr>
            </w:pPr>
            <w:r>
              <w:rPr>
                <w:rFonts w:asciiTheme="majorHAnsi" w:hAnsiTheme="majorHAnsi"/>
              </w:rPr>
              <w:t>The Garden Grove Center will publish a CTE newsletter every semester.</w:t>
            </w:r>
          </w:p>
        </w:tc>
        <w:tc>
          <w:tcPr>
            <w:tcW w:w="998" w:type="dxa"/>
          </w:tcPr>
          <w:p w:rsidR="005140B1" w:rsidRDefault="005140B1" w:rsidP="00A24396">
            <w:pPr>
              <w:ind w:firstLine="0"/>
              <w:rPr>
                <w:rFonts w:asciiTheme="majorHAnsi" w:hAnsiTheme="majorHAnsi"/>
                <w:b/>
              </w:rPr>
            </w:pPr>
            <w:r>
              <w:rPr>
                <w:rFonts w:asciiTheme="majorHAnsi" w:hAnsiTheme="majorHAnsi"/>
                <w:b/>
              </w:rPr>
              <w:t>2</w:t>
            </w:r>
          </w:p>
        </w:tc>
        <w:tc>
          <w:tcPr>
            <w:tcW w:w="1136" w:type="dxa"/>
          </w:tcPr>
          <w:p w:rsidR="005140B1" w:rsidRDefault="005140B1" w:rsidP="00A24396">
            <w:pPr>
              <w:ind w:firstLine="0"/>
              <w:rPr>
                <w:rFonts w:asciiTheme="majorHAnsi" w:hAnsiTheme="majorHAnsi"/>
              </w:rPr>
            </w:pPr>
            <w:r>
              <w:rPr>
                <w:rFonts w:asciiTheme="majorHAnsi" w:hAnsiTheme="majorHAnsi"/>
              </w:rPr>
              <w:t>Ongoing</w:t>
            </w:r>
          </w:p>
        </w:tc>
        <w:tc>
          <w:tcPr>
            <w:tcW w:w="1024" w:type="dxa"/>
          </w:tcPr>
          <w:p w:rsidR="005140B1" w:rsidRDefault="005140B1" w:rsidP="00A24396">
            <w:pPr>
              <w:ind w:firstLine="0"/>
              <w:rPr>
                <w:rFonts w:asciiTheme="majorHAnsi" w:hAnsiTheme="majorHAnsi"/>
              </w:rPr>
            </w:pPr>
            <w:r>
              <w:rPr>
                <w:rFonts w:asciiTheme="majorHAnsi" w:hAnsiTheme="majorHAnsi"/>
              </w:rPr>
              <w:t>Carolyn Clausen</w:t>
            </w:r>
          </w:p>
        </w:tc>
        <w:tc>
          <w:tcPr>
            <w:tcW w:w="4860" w:type="dxa"/>
          </w:tcPr>
          <w:p w:rsidR="005140B1" w:rsidRPr="001F5DAD" w:rsidRDefault="005140B1" w:rsidP="00B21C37">
            <w:pPr>
              <w:ind w:firstLine="0"/>
              <w:rPr>
                <w:rFonts w:asciiTheme="majorHAnsi" w:hAnsiTheme="majorHAnsi"/>
              </w:rPr>
            </w:pPr>
          </w:p>
        </w:tc>
      </w:tr>
      <w:tr w:rsidR="005140B1" w:rsidTr="008568C8">
        <w:tc>
          <w:tcPr>
            <w:tcW w:w="6652" w:type="dxa"/>
          </w:tcPr>
          <w:p w:rsidR="005140B1" w:rsidRDefault="005140B1" w:rsidP="00A24396">
            <w:pPr>
              <w:ind w:firstLine="0"/>
              <w:rPr>
                <w:rFonts w:asciiTheme="majorHAnsi" w:hAnsiTheme="majorHAnsi"/>
              </w:rPr>
            </w:pPr>
            <w:r>
              <w:rPr>
                <w:rFonts w:asciiTheme="majorHAnsi" w:hAnsiTheme="majorHAnsi"/>
              </w:rPr>
              <w:t>The Garden Grove Center will develop a student feedback mechanism that helps to improve student service.</w:t>
            </w:r>
          </w:p>
        </w:tc>
        <w:tc>
          <w:tcPr>
            <w:tcW w:w="998" w:type="dxa"/>
          </w:tcPr>
          <w:p w:rsidR="005140B1" w:rsidRDefault="005140B1" w:rsidP="00A24396">
            <w:pPr>
              <w:ind w:firstLine="0"/>
              <w:rPr>
                <w:rFonts w:asciiTheme="majorHAnsi" w:hAnsiTheme="majorHAnsi"/>
                <w:b/>
              </w:rPr>
            </w:pPr>
            <w:r>
              <w:rPr>
                <w:rFonts w:asciiTheme="majorHAnsi" w:hAnsiTheme="majorHAnsi"/>
                <w:b/>
              </w:rPr>
              <w:t>2</w:t>
            </w:r>
          </w:p>
        </w:tc>
        <w:tc>
          <w:tcPr>
            <w:tcW w:w="1136" w:type="dxa"/>
          </w:tcPr>
          <w:p w:rsidR="005140B1" w:rsidRDefault="005140B1" w:rsidP="00A24396">
            <w:pPr>
              <w:ind w:firstLine="0"/>
              <w:rPr>
                <w:rFonts w:asciiTheme="majorHAnsi" w:hAnsiTheme="majorHAnsi"/>
              </w:rPr>
            </w:pPr>
            <w:r>
              <w:rPr>
                <w:rFonts w:asciiTheme="majorHAnsi" w:hAnsiTheme="majorHAnsi"/>
              </w:rPr>
              <w:t>Fall 2013</w:t>
            </w:r>
          </w:p>
        </w:tc>
        <w:tc>
          <w:tcPr>
            <w:tcW w:w="1024" w:type="dxa"/>
          </w:tcPr>
          <w:p w:rsidR="005140B1" w:rsidRDefault="005140B1" w:rsidP="00A24396">
            <w:pPr>
              <w:ind w:firstLine="0"/>
              <w:rPr>
                <w:rFonts w:asciiTheme="majorHAnsi" w:hAnsiTheme="majorHAnsi"/>
              </w:rPr>
            </w:pPr>
            <w:r>
              <w:rPr>
                <w:rFonts w:asciiTheme="majorHAnsi" w:hAnsiTheme="majorHAnsi"/>
              </w:rPr>
              <w:t>Carolyn Clausen</w:t>
            </w:r>
          </w:p>
        </w:tc>
        <w:tc>
          <w:tcPr>
            <w:tcW w:w="4860" w:type="dxa"/>
          </w:tcPr>
          <w:p w:rsidR="005140B1" w:rsidRPr="001F5DAD" w:rsidRDefault="005140B1" w:rsidP="00B21C37">
            <w:pPr>
              <w:ind w:firstLine="0"/>
              <w:rPr>
                <w:rFonts w:asciiTheme="majorHAnsi" w:hAnsiTheme="majorHAnsi"/>
              </w:rPr>
            </w:pPr>
          </w:p>
        </w:tc>
      </w:tr>
      <w:tr w:rsidR="005140B1" w:rsidTr="008568C8">
        <w:tc>
          <w:tcPr>
            <w:tcW w:w="6652" w:type="dxa"/>
          </w:tcPr>
          <w:p w:rsidR="005140B1" w:rsidRDefault="005140B1" w:rsidP="00A24396">
            <w:pPr>
              <w:ind w:firstLine="0"/>
              <w:rPr>
                <w:rFonts w:asciiTheme="majorHAnsi" w:hAnsiTheme="majorHAnsi"/>
              </w:rPr>
            </w:pPr>
            <w:r>
              <w:rPr>
                <w:rFonts w:asciiTheme="majorHAnsi" w:hAnsiTheme="majorHAnsi"/>
              </w:rPr>
              <w:t>The Garden Grove Center will hold workshops with Linda Morin, to start the development phase of the Emergency Operations Plan</w:t>
            </w:r>
          </w:p>
        </w:tc>
        <w:tc>
          <w:tcPr>
            <w:tcW w:w="998" w:type="dxa"/>
          </w:tcPr>
          <w:p w:rsidR="005140B1" w:rsidRDefault="005140B1" w:rsidP="00A24396">
            <w:pPr>
              <w:ind w:firstLine="0"/>
              <w:rPr>
                <w:rFonts w:asciiTheme="majorHAnsi" w:hAnsiTheme="majorHAnsi"/>
                <w:b/>
              </w:rPr>
            </w:pPr>
            <w:r>
              <w:rPr>
                <w:rFonts w:asciiTheme="majorHAnsi" w:hAnsiTheme="majorHAnsi"/>
                <w:b/>
              </w:rPr>
              <w:t>3</w:t>
            </w:r>
          </w:p>
        </w:tc>
        <w:tc>
          <w:tcPr>
            <w:tcW w:w="1136" w:type="dxa"/>
          </w:tcPr>
          <w:p w:rsidR="005140B1" w:rsidRDefault="005140B1" w:rsidP="00A24396">
            <w:pPr>
              <w:ind w:firstLine="0"/>
              <w:rPr>
                <w:rFonts w:asciiTheme="majorHAnsi" w:hAnsiTheme="majorHAnsi"/>
              </w:rPr>
            </w:pPr>
            <w:r>
              <w:rPr>
                <w:rFonts w:asciiTheme="majorHAnsi" w:hAnsiTheme="majorHAnsi"/>
              </w:rPr>
              <w:t>Ongoing</w:t>
            </w:r>
          </w:p>
        </w:tc>
        <w:tc>
          <w:tcPr>
            <w:tcW w:w="1024" w:type="dxa"/>
          </w:tcPr>
          <w:p w:rsidR="005140B1" w:rsidRDefault="005140B1" w:rsidP="00A24396">
            <w:pPr>
              <w:ind w:firstLine="0"/>
              <w:rPr>
                <w:rFonts w:asciiTheme="majorHAnsi" w:hAnsiTheme="majorHAnsi"/>
              </w:rPr>
            </w:pPr>
            <w:r>
              <w:rPr>
                <w:rFonts w:asciiTheme="majorHAnsi" w:hAnsiTheme="majorHAnsi"/>
              </w:rPr>
              <w:t>Cynthia Berry</w:t>
            </w:r>
          </w:p>
        </w:tc>
        <w:tc>
          <w:tcPr>
            <w:tcW w:w="4860" w:type="dxa"/>
          </w:tcPr>
          <w:p w:rsidR="005140B1" w:rsidRPr="001F5DAD" w:rsidRDefault="005140B1" w:rsidP="00B21C37">
            <w:pPr>
              <w:ind w:firstLine="0"/>
              <w:rPr>
                <w:rFonts w:asciiTheme="majorHAnsi" w:hAnsiTheme="majorHAnsi"/>
              </w:rPr>
            </w:pPr>
          </w:p>
        </w:tc>
      </w:tr>
      <w:tr w:rsidR="005140B1" w:rsidTr="008568C8">
        <w:tc>
          <w:tcPr>
            <w:tcW w:w="6652" w:type="dxa"/>
          </w:tcPr>
          <w:p w:rsidR="005140B1" w:rsidRDefault="005140B1" w:rsidP="00A24396">
            <w:pPr>
              <w:ind w:firstLine="0"/>
              <w:rPr>
                <w:rFonts w:asciiTheme="majorHAnsi" w:hAnsiTheme="majorHAnsi"/>
              </w:rPr>
            </w:pPr>
            <w:r>
              <w:rPr>
                <w:rFonts w:asciiTheme="majorHAnsi" w:hAnsiTheme="majorHAnsi"/>
              </w:rPr>
              <w:t>The Garden Grove Center will develop cash handling procedures</w:t>
            </w:r>
          </w:p>
        </w:tc>
        <w:tc>
          <w:tcPr>
            <w:tcW w:w="998" w:type="dxa"/>
          </w:tcPr>
          <w:p w:rsidR="005140B1" w:rsidRDefault="005140B1" w:rsidP="00A24396">
            <w:pPr>
              <w:ind w:firstLine="0"/>
              <w:rPr>
                <w:rFonts w:asciiTheme="majorHAnsi" w:hAnsiTheme="majorHAnsi"/>
                <w:b/>
              </w:rPr>
            </w:pPr>
            <w:r>
              <w:rPr>
                <w:rFonts w:asciiTheme="majorHAnsi" w:hAnsiTheme="majorHAnsi"/>
                <w:b/>
              </w:rPr>
              <w:t>4</w:t>
            </w:r>
          </w:p>
        </w:tc>
        <w:tc>
          <w:tcPr>
            <w:tcW w:w="1136" w:type="dxa"/>
          </w:tcPr>
          <w:p w:rsidR="005140B1" w:rsidRDefault="005140B1" w:rsidP="00A24396">
            <w:pPr>
              <w:ind w:firstLine="0"/>
              <w:rPr>
                <w:rFonts w:asciiTheme="majorHAnsi" w:hAnsiTheme="majorHAnsi"/>
              </w:rPr>
            </w:pPr>
            <w:r>
              <w:rPr>
                <w:rFonts w:asciiTheme="majorHAnsi" w:hAnsiTheme="majorHAnsi"/>
              </w:rPr>
              <w:t>Fall 2013</w:t>
            </w:r>
          </w:p>
        </w:tc>
        <w:tc>
          <w:tcPr>
            <w:tcW w:w="1024" w:type="dxa"/>
          </w:tcPr>
          <w:p w:rsidR="005140B1" w:rsidRDefault="005140B1" w:rsidP="00A24396">
            <w:pPr>
              <w:ind w:firstLine="0"/>
              <w:rPr>
                <w:rFonts w:asciiTheme="majorHAnsi" w:hAnsiTheme="majorHAnsi"/>
              </w:rPr>
            </w:pPr>
            <w:r>
              <w:rPr>
                <w:rFonts w:asciiTheme="majorHAnsi" w:hAnsiTheme="majorHAnsi"/>
              </w:rPr>
              <w:t>Carolyn Clausen</w:t>
            </w:r>
          </w:p>
        </w:tc>
        <w:tc>
          <w:tcPr>
            <w:tcW w:w="4860" w:type="dxa"/>
          </w:tcPr>
          <w:p w:rsidR="005140B1" w:rsidRPr="001F5DAD" w:rsidRDefault="005140B1" w:rsidP="00B21C37">
            <w:pPr>
              <w:ind w:firstLine="0"/>
              <w:rPr>
                <w:rFonts w:asciiTheme="majorHAnsi" w:hAnsiTheme="majorHAnsi"/>
              </w:rPr>
            </w:pPr>
          </w:p>
        </w:tc>
      </w:tr>
      <w:tr w:rsidR="005140B1" w:rsidTr="008568C8">
        <w:tc>
          <w:tcPr>
            <w:tcW w:w="6652" w:type="dxa"/>
          </w:tcPr>
          <w:p w:rsidR="005140B1" w:rsidRDefault="005140B1" w:rsidP="00A24396">
            <w:pPr>
              <w:ind w:firstLine="0"/>
              <w:rPr>
                <w:rFonts w:asciiTheme="majorHAnsi" w:hAnsiTheme="majorHAnsi"/>
              </w:rPr>
            </w:pPr>
            <w:r>
              <w:rPr>
                <w:rFonts w:asciiTheme="majorHAnsi" w:hAnsiTheme="majorHAnsi"/>
              </w:rPr>
              <w:t>The Garden Grove Center will develop a plan for tracking equipment deliveries and asset tagging.</w:t>
            </w:r>
          </w:p>
        </w:tc>
        <w:tc>
          <w:tcPr>
            <w:tcW w:w="998" w:type="dxa"/>
          </w:tcPr>
          <w:p w:rsidR="005140B1" w:rsidRDefault="005140B1" w:rsidP="00A24396">
            <w:pPr>
              <w:ind w:firstLine="0"/>
              <w:rPr>
                <w:rFonts w:asciiTheme="majorHAnsi" w:hAnsiTheme="majorHAnsi"/>
                <w:b/>
              </w:rPr>
            </w:pPr>
            <w:r>
              <w:rPr>
                <w:rFonts w:asciiTheme="majorHAnsi" w:hAnsiTheme="majorHAnsi"/>
                <w:b/>
              </w:rPr>
              <w:t>4</w:t>
            </w:r>
          </w:p>
        </w:tc>
        <w:tc>
          <w:tcPr>
            <w:tcW w:w="1136" w:type="dxa"/>
          </w:tcPr>
          <w:p w:rsidR="005140B1" w:rsidRDefault="005140B1" w:rsidP="00A24396">
            <w:pPr>
              <w:ind w:firstLine="0"/>
              <w:rPr>
                <w:rFonts w:asciiTheme="majorHAnsi" w:hAnsiTheme="majorHAnsi"/>
              </w:rPr>
            </w:pPr>
            <w:r>
              <w:rPr>
                <w:rFonts w:asciiTheme="majorHAnsi" w:hAnsiTheme="majorHAnsi"/>
              </w:rPr>
              <w:t>Fall 2013</w:t>
            </w:r>
          </w:p>
        </w:tc>
        <w:tc>
          <w:tcPr>
            <w:tcW w:w="1024" w:type="dxa"/>
          </w:tcPr>
          <w:p w:rsidR="005140B1" w:rsidRDefault="005140B1" w:rsidP="00A24396">
            <w:pPr>
              <w:ind w:firstLine="0"/>
              <w:rPr>
                <w:rFonts w:asciiTheme="majorHAnsi" w:hAnsiTheme="majorHAnsi"/>
              </w:rPr>
            </w:pPr>
            <w:r>
              <w:rPr>
                <w:rFonts w:asciiTheme="majorHAnsi" w:hAnsiTheme="majorHAnsi"/>
              </w:rPr>
              <w:t>Carolyn Clausen</w:t>
            </w:r>
          </w:p>
        </w:tc>
        <w:tc>
          <w:tcPr>
            <w:tcW w:w="4860" w:type="dxa"/>
          </w:tcPr>
          <w:p w:rsidR="005140B1" w:rsidRPr="001F5DAD" w:rsidRDefault="005140B1" w:rsidP="00B21C37">
            <w:pPr>
              <w:ind w:firstLine="0"/>
              <w:rPr>
                <w:rFonts w:asciiTheme="majorHAnsi" w:hAnsiTheme="majorHAnsi"/>
              </w:rPr>
            </w:pPr>
          </w:p>
        </w:tc>
      </w:tr>
      <w:tr w:rsidR="005140B1" w:rsidTr="008568C8">
        <w:tc>
          <w:tcPr>
            <w:tcW w:w="6652" w:type="dxa"/>
          </w:tcPr>
          <w:p w:rsidR="005140B1" w:rsidRDefault="005140B1" w:rsidP="00A24396">
            <w:pPr>
              <w:ind w:firstLine="0"/>
              <w:rPr>
                <w:rFonts w:asciiTheme="majorHAnsi" w:hAnsiTheme="majorHAnsi"/>
              </w:rPr>
            </w:pPr>
            <w:r>
              <w:rPr>
                <w:rFonts w:asciiTheme="majorHAnsi" w:hAnsiTheme="majorHAnsi"/>
              </w:rPr>
              <w:t>The Garden Grove Center staff will prepare SOP manuals for at least 3 of their responsibilities and provide cross training to at least one other employee.</w:t>
            </w:r>
          </w:p>
        </w:tc>
        <w:tc>
          <w:tcPr>
            <w:tcW w:w="998" w:type="dxa"/>
          </w:tcPr>
          <w:p w:rsidR="005140B1" w:rsidRDefault="005140B1" w:rsidP="00A24396">
            <w:pPr>
              <w:ind w:firstLine="0"/>
              <w:rPr>
                <w:rFonts w:asciiTheme="majorHAnsi" w:hAnsiTheme="majorHAnsi"/>
                <w:b/>
              </w:rPr>
            </w:pPr>
            <w:r>
              <w:rPr>
                <w:rFonts w:asciiTheme="majorHAnsi" w:hAnsiTheme="majorHAnsi"/>
                <w:b/>
              </w:rPr>
              <w:t>5</w:t>
            </w:r>
          </w:p>
        </w:tc>
        <w:tc>
          <w:tcPr>
            <w:tcW w:w="1136" w:type="dxa"/>
          </w:tcPr>
          <w:p w:rsidR="005140B1" w:rsidRDefault="005140B1" w:rsidP="00A24396">
            <w:pPr>
              <w:ind w:firstLine="0"/>
              <w:rPr>
                <w:rFonts w:asciiTheme="majorHAnsi" w:hAnsiTheme="majorHAnsi"/>
              </w:rPr>
            </w:pPr>
            <w:r>
              <w:rPr>
                <w:rFonts w:asciiTheme="majorHAnsi" w:hAnsiTheme="majorHAnsi"/>
              </w:rPr>
              <w:t>Fall 2013</w:t>
            </w:r>
          </w:p>
        </w:tc>
        <w:tc>
          <w:tcPr>
            <w:tcW w:w="1024" w:type="dxa"/>
          </w:tcPr>
          <w:p w:rsidR="005140B1" w:rsidRDefault="005140B1" w:rsidP="00A24396">
            <w:pPr>
              <w:ind w:firstLine="0"/>
              <w:rPr>
                <w:rFonts w:asciiTheme="majorHAnsi" w:hAnsiTheme="majorHAnsi"/>
              </w:rPr>
            </w:pPr>
            <w:r>
              <w:rPr>
                <w:rFonts w:asciiTheme="majorHAnsi" w:hAnsiTheme="majorHAnsi"/>
              </w:rPr>
              <w:t>Carolyn Clausen</w:t>
            </w:r>
          </w:p>
        </w:tc>
        <w:tc>
          <w:tcPr>
            <w:tcW w:w="4860" w:type="dxa"/>
          </w:tcPr>
          <w:p w:rsidR="005140B1" w:rsidRPr="001F5DAD" w:rsidRDefault="005140B1" w:rsidP="00B21C37">
            <w:pPr>
              <w:ind w:firstLine="0"/>
              <w:rPr>
                <w:rFonts w:asciiTheme="majorHAnsi" w:hAnsiTheme="majorHAnsi"/>
              </w:rPr>
            </w:pP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21C37" w:rsidRDefault="00B21C37" w:rsidP="00CF6AE9">
      <w:pPr>
        <w:pStyle w:val="Heading3"/>
        <w:numPr>
          <w:ilvl w:val="0"/>
          <w:numId w:val="1"/>
        </w:numPr>
        <w:rPr>
          <w:color w:val="auto"/>
          <w:sz w:val="28"/>
          <w:szCs w:val="28"/>
        </w:rPr>
      </w:pPr>
      <w:r w:rsidRPr="002C7F92">
        <w:rPr>
          <w:color w:val="auto"/>
          <w:sz w:val="28"/>
          <w:szCs w:val="28"/>
        </w:rPr>
        <w:lastRenderedPageBreak/>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805D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805D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3805D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805D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805D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805D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805DD">
            <w:pPr>
              <w:ind w:firstLine="0"/>
              <w:jc w:val="center"/>
              <w:rPr>
                <w:b/>
                <w:sz w:val="20"/>
                <w:szCs w:val="20"/>
              </w:rPr>
            </w:pPr>
            <w:r w:rsidRPr="00FB2802">
              <w:rPr>
                <w:b/>
                <w:sz w:val="20"/>
                <w:szCs w:val="20"/>
              </w:rPr>
              <w:t>Potential Funding Source</w:t>
            </w: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Facilities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1F5DAD" w:rsidP="003805DD">
            <w:pPr>
              <w:ind w:firstLine="0"/>
            </w:pPr>
            <w:r>
              <w:t>12 hr/week lab assistant to extend lab hours</w:t>
            </w:r>
          </w:p>
        </w:tc>
        <w:tc>
          <w:tcPr>
            <w:tcW w:w="1253" w:type="dxa"/>
          </w:tcPr>
          <w:p w:rsidR="00B21C37" w:rsidRDefault="001F5DAD" w:rsidP="003805DD">
            <w:pPr>
              <w:ind w:firstLine="0"/>
            </w:pPr>
            <w:r>
              <w:t>1</w:t>
            </w:r>
          </w:p>
        </w:tc>
        <w:tc>
          <w:tcPr>
            <w:tcW w:w="2490" w:type="dxa"/>
          </w:tcPr>
          <w:p w:rsidR="00B21C37" w:rsidRDefault="001F5DAD" w:rsidP="003805DD">
            <w:pPr>
              <w:ind w:firstLine="0"/>
            </w:pPr>
            <w:r>
              <w:t>Will allow students more time to use the Information Commons to complete assignments and use textbooks.</w:t>
            </w:r>
          </w:p>
        </w:tc>
        <w:tc>
          <w:tcPr>
            <w:tcW w:w="1363" w:type="dxa"/>
            <w:vAlign w:val="center"/>
          </w:tcPr>
          <w:p w:rsidR="00B21C37" w:rsidRPr="00805581" w:rsidRDefault="00B21C37" w:rsidP="003805DD">
            <w:pPr>
              <w:ind w:firstLine="0"/>
              <w:jc w:val="center"/>
              <w:rPr>
                <w:sz w:val="18"/>
                <w:szCs w:val="18"/>
              </w:rPr>
            </w:pPr>
            <w:r w:rsidRPr="00805581">
              <w:rPr>
                <w:sz w:val="18"/>
                <w:szCs w:val="18"/>
              </w:rPr>
              <w:t>Personnel</w:t>
            </w:r>
          </w:p>
        </w:tc>
        <w:tc>
          <w:tcPr>
            <w:tcW w:w="2897" w:type="dxa"/>
          </w:tcPr>
          <w:p w:rsidR="00B21C37" w:rsidRDefault="00B21C37" w:rsidP="003805DD">
            <w:pPr>
              <w:ind w:firstLine="0"/>
            </w:pPr>
          </w:p>
        </w:tc>
        <w:tc>
          <w:tcPr>
            <w:tcW w:w="1251" w:type="dxa"/>
          </w:tcPr>
          <w:p w:rsidR="001F5DAD" w:rsidRDefault="001F5DAD" w:rsidP="003805DD">
            <w:pPr>
              <w:ind w:firstLine="0"/>
            </w:pPr>
          </w:p>
          <w:p w:rsidR="001F5DAD" w:rsidRDefault="001F5DAD" w:rsidP="003805DD">
            <w:pPr>
              <w:ind w:firstLine="0"/>
            </w:pPr>
          </w:p>
          <w:p w:rsidR="00B21C37" w:rsidRDefault="001F5DAD" w:rsidP="003805DD">
            <w:pPr>
              <w:ind w:firstLine="0"/>
            </w:pPr>
            <w:r>
              <w:t>1</w:t>
            </w:r>
          </w:p>
        </w:tc>
        <w:tc>
          <w:tcPr>
            <w:tcW w:w="1359" w:type="dxa"/>
          </w:tcPr>
          <w:p w:rsidR="001F5DAD" w:rsidRDefault="001F5DAD" w:rsidP="003805DD">
            <w:pPr>
              <w:ind w:firstLine="0"/>
            </w:pPr>
          </w:p>
          <w:p w:rsidR="001F5DAD" w:rsidRDefault="001F5DAD" w:rsidP="003805DD">
            <w:pPr>
              <w:ind w:firstLine="0"/>
            </w:pPr>
          </w:p>
          <w:p w:rsidR="00B21C37" w:rsidRDefault="001F5DAD" w:rsidP="003805DD">
            <w:pPr>
              <w:ind w:firstLine="0"/>
            </w:pPr>
            <w:r>
              <w:t>$10,000</w:t>
            </w:r>
          </w:p>
        </w:tc>
        <w:tc>
          <w:tcPr>
            <w:tcW w:w="1530" w:type="dxa"/>
            <w:vAlign w:val="center"/>
          </w:tcPr>
          <w:p w:rsidR="00B21C37" w:rsidRDefault="001F5DAD" w:rsidP="003805DD">
            <w:pPr>
              <w:ind w:firstLine="0"/>
            </w:pPr>
            <w:r>
              <w:t>General Fund</w:t>
            </w: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Software</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B21C37" w:rsidP="003805DD">
            <w:pPr>
              <w:ind w:firstLine="0"/>
              <w:jc w:val="center"/>
              <w:rPr>
                <w:sz w:val="18"/>
                <w:szCs w:val="18"/>
              </w:rPr>
            </w:pPr>
            <w:r w:rsidRPr="00805581">
              <w:rPr>
                <w:sz w:val="18"/>
                <w:szCs w:val="18"/>
              </w:rPr>
              <w:t>Supplies</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B21C37" w:rsidRDefault="00B21C37" w:rsidP="003805DD">
            <w:pPr>
              <w:ind w:firstLine="0"/>
            </w:pPr>
          </w:p>
        </w:tc>
      </w:tr>
      <w:tr w:rsidR="00B21C37" w:rsidTr="00B16BAC">
        <w:trPr>
          <w:trHeight w:val="576"/>
          <w:jc w:val="center"/>
        </w:trPr>
        <w:tc>
          <w:tcPr>
            <w:tcW w:w="2257" w:type="dxa"/>
          </w:tcPr>
          <w:p w:rsidR="00B21C37" w:rsidRDefault="00B21C37" w:rsidP="003805DD">
            <w:pPr>
              <w:ind w:firstLine="0"/>
            </w:pPr>
          </w:p>
        </w:tc>
        <w:tc>
          <w:tcPr>
            <w:tcW w:w="1253" w:type="dxa"/>
          </w:tcPr>
          <w:p w:rsidR="00B21C37" w:rsidRDefault="00B21C37" w:rsidP="003805DD">
            <w:pPr>
              <w:ind w:firstLine="0"/>
            </w:pPr>
          </w:p>
        </w:tc>
        <w:tc>
          <w:tcPr>
            <w:tcW w:w="2490" w:type="dxa"/>
          </w:tcPr>
          <w:p w:rsidR="00B21C37" w:rsidRDefault="00B21C37" w:rsidP="003805DD">
            <w:pPr>
              <w:ind w:firstLine="0"/>
            </w:pP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B21C37" w:rsidRDefault="00B21C37" w:rsidP="003805DD">
            <w:pPr>
              <w:ind w:firstLine="0"/>
            </w:pPr>
          </w:p>
        </w:tc>
        <w:tc>
          <w:tcPr>
            <w:tcW w:w="1251" w:type="dxa"/>
          </w:tcPr>
          <w:p w:rsidR="00B21C37" w:rsidRDefault="00B21C37" w:rsidP="003805DD">
            <w:pPr>
              <w:ind w:firstLine="0"/>
            </w:pPr>
          </w:p>
        </w:tc>
        <w:tc>
          <w:tcPr>
            <w:tcW w:w="1359" w:type="dxa"/>
          </w:tcPr>
          <w:p w:rsidR="00B21C37" w:rsidRDefault="00B21C37" w:rsidP="003805DD">
            <w:pPr>
              <w:ind w:firstLine="0"/>
            </w:pPr>
          </w:p>
        </w:tc>
        <w:tc>
          <w:tcPr>
            <w:tcW w:w="1530" w:type="dxa"/>
            <w:vAlign w:val="center"/>
          </w:tcPr>
          <w:p w:rsidR="00727BB4" w:rsidRDefault="00727BB4" w:rsidP="003805DD">
            <w:pPr>
              <w:ind w:firstLine="0"/>
            </w:pP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1 being the most important and subsequent numbers being less urgent. </w:t>
      </w:r>
    </w:p>
    <w:sectPr w:rsidR="009352C9" w:rsidSect="00E5673A">
      <w:headerReference w:type="default" r:id="rId7"/>
      <w:footerReference w:type="default" r:id="rId8"/>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8F" w:rsidRDefault="00A3548F" w:rsidP="00A27DD5">
      <w:pPr>
        <w:spacing w:after="0"/>
      </w:pPr>
      <w:r>
        <w:separator/>
      </w:r>
    </w:p>
  </w:endnote>
  <w:endnote w:type="continuationSeparator" w:id="0">
    <w:p w:rsidR="00A3548F" w:rsidRDefault="00A3548F"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B0A45" w:rsidRDefault="004C1141">
        <w:pPr>
          <w:pStyle w:val="Footer"/>
          <w:jc w:val="right"/>
        </w:pPr>
        <w:r>
          <w:fldChar w:fldCharType="begin"/>
        </w:r>
        <w:r w:rsidR="00BB0A45">
          <w:instrText xml:space="preserve"> PAGE   \* MERGEFORMAT </w:instrText>
        </w:r>
        <w:r>
          <w:fldChar w:fldCharType="separate"/>
        </w:r>
        <w:r w:rsidR="00D814B6">
          <w:rPr>
            <w:noProof/>
          </w:rPr>
          <w:t>1</w:t>
        </w:r>
        <w:r>
          <w:rPr>
            <w:noProof/>
          </w:rPr>
          <w:fldChar w:fldCharType="end"/>
        </w:r>
      </w:p>
    </w:sdtContent>
  </w:sdt>
  <w:p w:rsidR="00BB0A45" w:rsidRDefault="00BB0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8F" w:rsidRDefault="00A3548F" w:rsidP="00A27DD5">
      <w:pPr>
        <w:spacing w:after="0"/>
      </w:pPr>
      <w:r>
        <w:separator/>
      </w:r>
    </w:p>
  </w:footnote>
  <w:footnote w:type="continuationSeparator" w:id="0">
    <w:p w:rsidR="00A3548F" w:rsidRDefault="00A3548F"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5" w:rsidRPr="001D5896" w:rsidRDefault="004C1141" w:rsidP="001D5896">
    <w:pPr>
      <w:pStyle w:val="Header"/>
      <w:rPr>
        <w:sz w:val="28"/>
        <w:szCs w:val="28"/>
      </w:rPr>
    </w:pPr>
    <w:r w:rsidRPr="004C1141">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A27DD5" w:rsidRDefault="00A27DD5" w:rsidP="00A27DD5">
                <w:pPr>
                  <w:pStyle w:val="NoSpacing"/>
                </w:pPr>
                <w:r w:rsidRPr="00A27DD5">
                  <w:t>Department/Division</w:t>
                </w:r>
                <w:r w:rsidR="004300C6">
                  <w:t xml:space="preserve"> Instruction-Garden Grove Center</w:t>
                </w:r>
                <w:r w:rsidR="002B459E">
                  <w:t>/Information Commons</w:t>
                </w:r>
                <w:r w:rsidR="003370F4">
                  <w:tab/>
                </w:r>
              </w:p>
              <w:p w:rsidR="00A27DD5" w:rsidRDefault="00A27DD5" w:rsidP="00A27DD5">
                <w:pPr>
                  <w:pStyle w:val="NoSpacing"/>
                </w:pPr>
              </w:p>
              <w:p w:rsidR="00A27DD5" w:rsidRDefault="00EE5DD0" w:rsidP="00A27DD5">
                <w:pPr>
                  <w:ind w:firstLine="0"/>
                </w:pPr>
                <w:r>
                  <w:t>Planning Year</w:t>
                </w:r>
                <w:r w:rsidR="003370F4">
                  <w:tab/>
                  <w:t xml:space="preserve"> 2013-14</w:t>
                </w:r>
              </w:p>
              <w:p w:rsidR="00A27DD5" w:rsidRDefault="00A27DD5"/>
            </w:txbxContent>
          </v:textbox>
        </v:shape>
      </w:pict>
    </w:r>
    <w:r w:rsidR="00A27DD5" w:rsidRPr="00D933D6">
      <w:rPr>
        <w:sz w:val="28"/>
        <w:szCs w:val="28"/>
      </w:rPr>
      <w:t>Coastline Community College</w:t>
    </w:r>
  </w:p>
  <w:p w:rsidR="00A27DD5" w:rsidRPr="00D933D6" w:rsidRDefault="00A27DD5" w:rsidP="00A27DD5">
    <w:pPr>
      <w:pStyle w:val="Header"/>
      <w:rPr>
        <w:sz w:val="28"/>
        <w:szCs w:val="28"/>
      </w:rPr>
    </w:pPr>
    <w:r w:rsidRPr="00D933D6">
      <w:rPr>
        <w:sz w:val="28"/>
        <w:szCs w:val="28"/>
      </w:rPr>
      <w:t>Annual Institutional Planning Report</w:t>
    </w:r>
  </w:p>
  <w:p w:rsidR="00A27DD5" w:rsidRDefault="00124AA7">
    <w:pPr>
      <w:pStyle w:val="Header"/>
      <w:rPr>
        <w:sz w:val="28"/>
        <w:szCs w:val="28"/>
      </w:rPr>
    </w:pPr>
    <w:r w:rsidRPr="00124AA7">
      <w:rPr>
        <w:sz w:val="28"/>
        <w:szCs w:val="28"/>
      </w:rPr>
      <w:t>Non-Instructional</w:t>
    </w:r>
  </w:p>
  <w:p w:rsidR="001D5896" w:rsidRDefault="001D5896">
    <w:pPr>
      <w:pStyle w:val="Header"/>
      <w:rPr>
        <w:sz w:val="28"/>
        <w:szCs w:val="28"/>
      </w:rPr>
    </w:pPr>
  </w:p>
  <w:p w:rsidR="00B026FA" w:rsidRPr="00124AA7" w:rsidRDefault="00B026FA">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CE603F"/>
    <w:multiLevelType w:val="hybridMultilevel"/>
    <w:tmpl w:val="E994642A"/>
    <w:lvl w:ilvl="0" w:tplc="7902D9B8">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5A232B"/>
    <w:multiLevelType w:val="hybridMultilevel"/>
    <w:tmpl w:val="468E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2"/>
  </w:num>
  <w:num w:numId="4">
    <w:abstractNumId w:val="0"/>
  </w:num>
  <w:num w:numId="5">
    <w:abstractNumId w:val="8"/>
  </w:num>
  <w:num w:numId="6">
    <w:abstractNumId w:val="9"/>
  </w:num>
  <w:num w:numId="7">
    <w:abstractNumId w:val="3"/>
  </w:num>
  <w:num w:numId="8">
    <w:abstractNumId w:val="4"/>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37376"/>
    <w:rsid w:val="00042365"/>
    <w:rsid w:val="00092C05"/>
    <w:rsid w:val="000D4535"/>
    <w:rsid w:val="00124AA7"/>
    <w:rsid w:val="00135926"/>
    <w:rsid w:val="001D5896"/>
    <w:rsid w:val="001D6F32"/>
    <w:rsid w:val="001E7549"/>
    <w:rsid w:val="001F5DAD"/>
    <w:rsid w:val="0020697E"/>
    <w:rsid w:val="00224C47"/>
    <w:rsid w:val="00226C3D"/>
    <w:rsid w:val="00232381"/>
    <w:rsid w:val="00237533"/>
    <w:rsid w:val="00266479"/>
    <w:rsid w:val="002B459E"/>
    <w:rsid w:val="002F5B04"/>
    <w:rsid w:val="00302D48"/>
    <w:rsid w:val="003050B7"/>
    <w:rsid w:val="003172B1"/>
    <w:rsid w:val="003370F4"/>
    <w:rsid w:val="0034604E"/>
    <w:rsid w:val="00371AD5"/>
    <w:rsid w:val="00372EDD"/>
    <w:rsid w:val="004300C6"/>
    <w:rsid w:val="00492DC8"/>
    <w:rsid w:val="004C1141"/>
    <w:rsid w:val="005140B1"/>
    <w:rsid w:val="005C1A18"/>
    <w:rsid w:val="00670152"/>
    <w:rsid w:val="006F4B48"/>
    <w:rsid w:val="00727BB4"/>
    <w:rsid w:val="00736DF1"/>
    <w:rsid w:val="007618FA"/>
    <w:rsid w:val="007C5DEB"/>
    <w:rsid w:val="007D66FD"/>
    <w:rsid w:val="00805581"/>
    <w:rsid w:val="008568C8"/>
    <w:rsid w:val="0086674C"/>
    <w:rsid w:val="008E4F2B"/>
    <w:rsid w:val="00911868"/>
    <w:rsid w:val="009352C9"/>
    <w:rsid w:val="0096309D"/>
    <w:rsid w:val="00A27DD5"/>
    <w:rsid w:val="00A3548F"/>
    <w:rsid w:val="00B026FA"/>
    <w:rsid w:val="00B07C08"/>
    <w:rsid w:val="00B16BAC"/>
    <w:rsid w:val="00B21C37"/>
    <w:rsid w:val="00B34D38"/>
    <w:rsid w:val="00B5330B"/>
    <w:rsid w:val="00B74F63"/>
    <w:rsid w:val="00BB0A45"/>
    <w:rsid w:val="00BD6CFE"/>
    <w:rsid w:val="00C17322"/>
    <w:rsid w:val="00CB05BD"/>
    <w:rsid w:val="00CF6AE9"/>
    <w:rsid w:val="00D109F6"/>
    <w:rsid w:val="00D23D47"/>
    <w:rsid w:val="00D814B6"/>
    <w:rsid w:val="00D933D6"/>
    <w:rsid w:val="00DA2306"/>
    <w:rsid w:val="00DA66D7"/>
    <w:rsid w:val="00DC71C9"/>
    <w:rsid w:val="00E5673A"/>
    <w:rsid w:val="00E914C7"/>
    <w:rsid w:val="00EE5DD0"/>
    <w:rsid w:val="00F41ED8"/>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2013-11-29T17:28:00Z</dcterms:created>
  <dcterms:modified xsi:type="dcterms:W3CDTF">2013-11-29T17:28:00Z</dcterms:modified>
</cp:coreProperties>
</file>